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60D" w:rsidRPr="00377BEB" w:rsidRDefault="00377BEB" w:rsidP="00377BEB">
      <w:pPr>
        <w:ind w:firstLine="0"/>
        <w:jc w:val="center"/>
        <w:rPr>
          <w:b/>
          <w:sz w:val="28"/>
          <w:szCs w:val="28"/>
          <w:u w:val="single"/>
        </w:rPr>
      </w:pPr>
      <w:r w:rsidRPr="00377BEB">
        <w:rPr>
          <w:b/>
          <w:sz w:val="28"/>
          <w:szCs w:val="28"/>
          <w:u w:val="single"/>
        </w:rPr>
        <w:t>CRITERI DI CONDUZIONE, DI VALUTAZIONE E MODALITÀ DI SVOLGIMENTO DEL COLLOQUIO</w:t>
      </w:r>
    </w:p>
    <w:p w:rsidR="00377BEB" w:rsidRPr="00377BEB" w:rsidRDefault="00377BEB" w:rsidP="00377BEB">
      <w:pPr>
        <w:jc w:val="center"/>
      </w:pPr>
      <w:r>
        <w:t>(OM205/2019 art.14 comma 10)</w:t>
      </w:r>
    </w:p>
    <w:p w:rsidR="00E97BE8" w:rsidRDefault="00E97BE8" w:rsidP="00377BEB"/>
    <w:p w:rsidR="00F4460D" w:rsidRDefault="00F4460D" w:rsidP="005818FD">
      <w:pPr>
        <w:pStyle w:val="Titolo2"/>
      </w:pPr>
      <w:r>
        <w:t>Obiettivi da accertar</w:t>
      </w:r>
      <w:r w:rsidR="00377BEB">
        <w:t>e</w:t>
      </w:r>
      <w:r>
        <w:t xml:space="preserve"> con il colloquio:</w:t>
      </w:r>
    </w:p>
    <w:p w:rsidR="00E97BE8" w:rsidRPr="005818FD" w:rsidRDefault="00E97BE8" w:rsidP="005818FD">
      <w:r w:rsidRPr="005818FD">
        <w:t>Il colloquio ha la finalità di accertare il conseguimento del profilo culturale, educativo e professionale della studentessa o dello studente.</w:t>
      </w:r>
    </w:p>
    <w:p w:rsidR="00E97BE8" w:rsidRPr="005818FD" w:rsidRDefault="00E97BE8" w:rsidP="005818FD">
      <w:r w:rsidRPr="005818FD">
        <w:t>La commissione verific</w:t>
      </w:r>
      <w:r w:rsidR="00A958EA">
        <w:t>herà</w:t>
      </w:r>
      <w:r w:rsidRPr="005818FD">
        <w:t xml:space="preserve"> l'acquisizione dei contenuti e dei metodi propri delle singole discipline, la capacità di utilizzare le conoscenze acquisite e di collegarle per argomentare in maniera critica e personale anche utilizzando la lingua straniera.</w:t>
      </w:r>
    </w:p>
    <w:p w:rsidR="000B728B" w:rsidRPr="005818FD" w:rsidRDefault="00E97BE8" w:rsidP="005818FD">
      <w:pPr>
        <w:rPr>
          <w:b/>
        </w:rPr>
      </w:pPr>
      <w:r w:rsidRPr="005818FD">
        <w:t xml:space="preserve">La commissione </w:t>
      </w:r>
      <w:r w:rsidR="000B728B" w:rsidRPr="005818FD">
        <w:t>accert</w:t>
      </w:r>
      <w:r w:rsidRPr="005818FD">
        <w:t>erà</w:t>
      </w:r>
      <w:r w:rsidR="000B728B" w:rsidRPr="005818FD">
        <w:t xml:space="preserve"> le conoscenze e le competenze </w:t>
      </w:r>
      <w:r w:rsidR="0099422D">
        <w:t xml:space="preserve">degli studenti </w:t>
      </w:r>
      <w:r w:rsidR="000B728B" w:rsidRPr="005818FD">
        <w:t>in relazione agli obiettivi generali e specifici propri di ciascun indirizzo e delle basi culturali generali, nonché delle capacità critiche del candidato attraverso l’analisi della:</w:t>
      </w:r>
    </w:p>
    <w:p w:rsidR="00F4460D" w:rsidRPr="005818FD" w:rsidRDefault="00F4460D" w:rsidP="005818FD">
      <w:pPr>
        <w:pStyle w:val="Corpodeltesto21"/>
        <w:numPr>
          <w:ilvl w:val="0"/>
          <w:numId w:val="7"/>
        </w:numPr>
        <w:jc w:val="left"/>
        <w:rPr>
          <w:b w:val="0"/>
        </w:rPr>
      </w:pPr>
      <w:r w:rsidRPr="005818FD">
        <w:rPr>
          <w:b w:val="0"/>
        </w:rPr>
        <w:t>padronanza della lingua orale;</w:t>
      </w:r>
    </w:p>
    <w:p w:rsidR="00F4460D" w:rsidRPr="005818FD" w:rsidRDefault="00F4460D" w:rsidP="005818FD">
      <w:pPr>
        <w:pStyle w:val="Corpodeltesto21"/>
        <w:numPr>
          <w:ilvl w:val="0"/>
          <w:numId w:val="7"/>
        </w:numPr>
        <w:jc w:val="left"/>
        <w:rPr>
          <w:b w:val="0"/>
        </w:rPr>
      </w:pPr>
      <w:r w:rsidRPr="005818FD">
        <w:rPr>
          <w:b w:val="0"/>
        </w:rPr>
        <w:t>capacità di utilizzare le conoscenze acquisite;</w:t>
      </w:r>
    </w:p>
    <w:p w:rsidR="00F4460D" w:rsidRPr="005818FD" w:rsidRDefault="00F4460D" w:rsidP="005818FD">
      <w:pPr>
        <w:pStyle w:val="Corpodeltesto21"/>
        <w:numPr>
          <w:ilvl w:val="0"/>
          <w:numId w:val="7"/>
        </w:numPr>
        <w:jc w:val="left"/>
        <w:rPr>
          <w:b w:val="0"/>
        </w:rPr>
      </w:pPr>
      <w:r w:rsidRPr="005818FD">
        <w:rPr>
          <w:b w:val="0"/>
        </w:rPr>
        <w:t>la capacità di collegare le conoscenze nell’argomentazione;</w:t>
      </w:r>
    </w:p>
    <w:p w:rsidR="00F4460D" w:rsidRPr="005818FD" w:rsidRDefault="00F4460D" w:rsidP="005818FD">
      <w:pPr>
        <w:pStyle w:val="Corpodeltesto21"/>
        <w:numPr>
          <w:ilvl w:val="0"/>
          <w:numId w:val="7"/>
        </w:numPr>
        <w:jc w:val="left"/>
        <w:rPr>
          <w:b w:val="0"/>
        </w:rPr>
      </w:pPr>
      <w:r w:rsidRPr="005818FD">
        <w:rPr>
          <w:b w:val="0"/>
        </w:rPr>
        <w:t>la capacità di discutere e approfondire sotto vari profili i diversi argomenti.</w:t>
      </w:r>
    </w:p>
    <w:p w:rsidR="00F4460D" w:rsidRDefault="00F4460D" w:rsidP="005818FD"/>
    <w:p w:rsidR="00F4460D" w:rsidRDefault="00F4460D" w:rsidP="005818FD">
      <w:pPr>
        <w:pStyle w:val="Titolo2"/>
      </w:pPr>
      <w:r>
        <w:t>Articolazione e durata</w:t>
      </w:r>
    </w:p>
    <w:p w:rsidR="0048476B" w:rsidRDefault="00F4460D" w:rsidP="0015550E">
      <w:pPr>
        <w:numPr>
          <w:ilvl w:val="0"/>
          <w:numId w:val="18"/>
        </w:numPr>
      </w:pPr>
      <w:r>
        <w:t>La commissione curerà l'equilibrata articolazione e durata delle fasi del colloquio ("equilibrio" che non significa "uguale durata" di ciascuna fase)</w:t>
      </w:r>
      <w:r w:rsidR="00B336C3">
        <w:t xml:space="preserve">, le fasi non devono essere distinte e separate ma </w:t>
      </w:r>
      <w:r w:rsidR="00A958EA" w:rsidRPr="0099422D">
        <w:t xml:space="preserve">devono </w:t>
      </w:r>
      <w:r w:rsidR="00B336C3" w:rsidRPr="0099422D">
        <w:t>svi</w:t>
      </w:r>
      <w:r w:rsidR="00B336C3">
        <w:t xml:space="preserve">lupparsi </w:t>
      </w:r>
      <w:r w:rsidR="009043C4">
        <w:t>in modo armonico all’interno dell’intero colloquio</w:t>
      </w:r>
      <w:r w:rsidR="00B336C3">
        <w:t>;</w:t>
      </w:r>
    </w:p>
    <w:p w:rsidR="008F6D61" w:rsidRDefault="0048476B" w:rsidP="0015550E">
      <w:pPr>
        <w:numPr>
          <w:ilvl w:val="0"/>
          <w:numId w:val="18"/>
        </w:numPr>
      </w:pPr>
      <w:r>
        <w:t>Lo sviluppo di ciascun</w:t>
      </w:r>
      <w:r w:rsidR="0015550E">
        <w:t>a parte</w:t>
      </w:r>
      <w:r>
        <w:t xml:space="preserve"> assume</w:t>
      </w:r>
      <w:r w:rsidR="00B336C3">
        <w:t>,</w:t>
      </w:r>
      <w:r>
        <w:t xml:space="preserve"> in linea di massima</w:t>
      </w:r>
      <w:r w:rsidR="00B336C3">
        <w:t>,</w:t>
      </w:r>
      <w:r>
        <w:t xml:space="preserve"> carattere </w:t>
      </w:r>
      <w:r w:rsidR="00B336C3">
        <w:t>inter</w:t>
      </w:r>
      <w:r>
        <w:t>disciplinare</w:t>
      </w:r>
      <w:r w:rsidR="00B336C3">
        <w:t>;</w:t>
      </w:r>
    </w:p>
    <w:p w:rsidR="009043C4" w:rsidRDefault="009043C4" w:rsidP="0015550E">
      <w:pPr>
        <w:numPr>
          <w:ilvl w:val="0"/>
          <w:numId w:val="18"/>
        </w:numPr>
      </w:pPr>
      <w:r>
        <w:t xml:space="preserve">Si curerà il </w:t>
      </w:r>
      <w:r w:rsidRPr="009043C4">
        <w:t>coinvolgimento delle diverse discipline, evitando però una rigida distinzione tra le stesse</w:t>
      </w:r>
      <w:r>
        <w:t>;</w:t>
      </w:r>
    </w:p>
    <w:p w:rsidR="00A102D0" w:rsidRDefault="00A102D0" w:rsidP="0015550E">
      <w:pPr>
        <w:numPr>
          <w:ilvl w:val="0"/>
          <w:numId w:val="18"/>
        </w:numPr>
      </w:pPr>
      <w:r>
        <w:t>Momenti della discussione si svolgono in lingua straniera</w:t>
      </w:r>
      <w:r w:rsidR="0015550E">
        <w:t>;</w:t>
      </w:r>
    </w:p>
    <w:p w:rsidR="005818FD" w:rsidRPr="005818FD" w:rsidRDefault="005818FD" w:rsidP="0015550E">
      <w:pPr>
        <w:numPr>
          <w:ilvl w:val="0"/>
          <w:numId w:val="18"/>
        </w:numPr>
      </w:pPr>
      <w:r>
        <w:t>Si eviteranno domande estemporanee o semplici curiosità o quesiti frammentari riguardanti aspetti isolati dal contesto della discussione</w:t>
      </w:r>
      <w:r w:rsidR="0015550E">
        <w:t>;</w:t>
      </w:r>
    </w:p>
    <w:p w:rsidR="00B336C3" w:rsidRDefault="009043C4" w:rsidP="0015550E">
      <w:pPr>
        <w:numPr>
          <w:ilvl w:val="0"/>
          <w:numId w:val="18"/>
        </w:numPr>
      </w:pPr>
      <w:r>
        <w:t>Il colloquio s</w:t>
      </w:r>
      <w:r w:rsidR="00B336C3" w:rsidRPr="00B336C3">
        <w:t>i svolge in un’unica soluzione temporale, alla presenza dell’intera commissione</w:t>
      </w:r>
      <w:r>
        <w:t>;</w:t>
      </w:r>
    </w:p>
    <w:p w:rsidR="00E27E67" w:rsidRDefault="00E27E67" w:rsidP="0015550E">
      <w:pPr>
        <w:numPr>
          <w:ilvl w:val="0"/>
          <w:numId w:val="18"/>
        </w:numPr>
        <w:rPr>
          <w:u w:val="single"/>
        </w:rPr>
      </w:pPr>
      <w:r>
        <w:t>Lo svolgimento del colloquio avrà, di norma, la durata circa di cinquanta minuti.</w:t>
      </w:r>
    </w:p>
    <w:p w:rsidR="008F6D61" w:rsidRDefault="008F6D61" w:rsidP="0015550E"/>
    <w:p w:rsidR="00F4460D" w:rsidRPr="0015550E" w:rsidRDefault="00F4460D" w:rsidP="0015550E">
      <w:pPr>
        <w:pStyle w:val="Titolo3"/>
      </w:pPr>
      <w:r w:rsidRPr="0015550E">
        <w:t>Inizio del colloquio</w:t>
      </w:r>
    </w:p>
    <w:p w:rsidR="002478C7" w:rsidRPr="009043C4" w:rsidRDefault="00B336C3" w:rsidP="0015550E">
      <w:pPr>
        <w:rPr>
          <w:szCs w:val="20"/>
        </w:rPr>
      </w:pPr>
      <w:r w:rsidRPr="0099422D">
        <w:t>L</w:t>
      </w:r>
      <w:r w:rsidR="00B92FD9" w:rsidRPr="0099422D">
        <w:t>a commissione</w:t>
      </w:r>
      <w:r w:rsidR="009043C4" w:rsidRPr="0099422D">
        <w:t>,</w:t>
      </w:r>
      <w:r w:rsidR="00B92FD9" w:rsidRPr="0099422D">
        <w:t xml:space="preserve"> </w:t>
      </w:r>
      <w:r w:rsidR="009043C4" w:rsidRPr="0099422D">
        <w:t>attraverso le buste predisposte</w:t>
      </w:r>
      <w:r w:rsidR="00A958EA" w:rsidRPr="0099422D">
        <w:t xml:space="preserve"> come previsto dall’A</w:t>
      </w:r>
      <w:r w:rsidR="00541FAC" w:rsidRPr="0099422D">
        <w:t xml:space="preserve">rt. 19 </w:t>
      </w:r>
      <w:r w:rsidR="00A958EA" w:rsidRPr="0099422D">
        <w:t>dell’OM205/2019</w:t>
      </w:r>
      <w:r w:rsidR="00A958EA">
        <w:t xml:space="preserve"> </w:t>
      </w:r>
      <w:r w:rsidR="009043C4">
        <w:t xml:space="preserve">ed estratte a caso dal candidato, </w:t>
      </w:r>
      <w:r w:rsidR="00B92FD9" w:rsidRPr="00B336C3">
        <w:t xml:space="preserve">propone di analizzare testi, documenti, </w:t>
      </w:r>
      <w:r w:rsidRPr="00B336C3">
        <w:t xml:space="preserve">esperienze, progetti, problemi per verificare l'acquisizione dei contenuti e dei metodi propri delle singole discipline, la capacità di utilizzare le conoscenze acquisite e di collegarle per argomentare in maniera critica e personale anche utilizzando la lingua straniera. </w:t>
      </w:r>
      <w:r w:rsidR="009043C4">
        <w:t>I</w:t>
      </w:r>
      <w:r w:rsidR="00B92FD9" w:rsidRPr="009043C4">
        <w:rPr>
          <w:szCs w:val="20"/>
        </w:rPr>
        <w:t xml:space="preserve"> materiali costituiscono l’incipit finalizzato anche a verificare l’autonomia e la capacità di orientamento del candidato</w:t>
      </w:r>
      <w:r w:rsidR="009043C4">
        <w:t>.</w:t>
      </w:r>
    </w:p>
    <w:p w:rsidR="00B336C3" w:rsidRPr="009043C4" w:rsidRDefault="009043C4" w:rsidP="0015550E">
      <w:r>
        <w:t xml:space="preserve">La commissione </w:t>
      </w:r>
      <w:r w:rsidRPr="009043C4">
        <w:t>stabilir</w:t>
      </w:r>
      <w:r>
        <w:t>à in base al materiale estratto</w:t>
      </w:r>
      <w:r w:rsidRPr="009043C4">
        <w:t>, il commissario che condu</w:t>
      </w:r>
      <w:r>
        <w:t>rrà</w:t>
      </w:r>
      <w:r w:rsidRPr="009043C4">
        <w:t xml:space="preserve"> l’approccio alla prima parte; gli altri commissari si inseriscono progressivamente per approfondire aspetti disciplinari, anche non direttamente collegati al materiale di partenza</w:t>
      </w:r>
      <w:r>
        <w:t>.</w:t>
      </w:r>
    </w:p>
    <w:p w:rsidR="009043C4" w:rsidRDefault="009043C4" w:rsidP="0015550E"/>
    <w:p w:rsidR="009043C4" w:rsidRPr="009043C4" w:rsidRDefault="009043C4" w:rsidP="0015550E">
      <w:pPr>
        <w:pStyle w:val="Titolo3"/>
      </w:pPr>
      <w:r w:rsidRPr="009043C4">
        <w:t>Sviluppo del colloquio</w:t>
      </w:r>
    </w:p>
    <w:p w:rsidR="009043C4" w:rsidRDefault="009043C4" w:rsidP="0015550E">
      <w:r w:rsidRPr="009043C4">
        <w:t>I materiali costituiscono solo spunto di avvio del colloquio che si sviluppa in una più ampia e distesa trattazione di carattere pluridisciplinare che possa esplicitare al meglio il conseguimento del PECUP</w:t>
      </w:r>
      <w:r w:rsidR="0015550E">
        <w:t>.</w:t>
      </w:r>
    </w:p>
    <w:p w:rsidR="002478C7" w:rsidRDefault="00B92FD9" w:rsidP="0015550E">
      <w:r w:rsidRPr="00A102D0">
        <w:t xml:space="preserve">La Commissione non deve </w:t>
      </w:r>
      <w:r w:rsidR="00A102D0" w:rsidRPr="00A102D0">
        <w:t xml:space="preserve">ricercare </w:t>
      </w:r>
      <w:r w:rsidRPr="00A102D0">
        <w:t>ad ogni costo collegamenti artificiosi con tutte le discipline</w:t>
      </w:r>
      <w:r w:rsidR="0099422D">
        <w:t>.</w:t>
      </w:r>
      <w:bookmarkStart w:id="0" w:name="_GoBack"/>
      <w:bookmarkEnd w:id="0"/>
    </w:p>
    <w:p w:rsidR="002478C7" w:rsidRPr="00A102D0" w:rsidRDefault="00B92FD9" w:rsidP="0015550E">
      <w:r w:rsidRPr="00A102D0">
        <w:t>I commissari delle discipline che non trovano un diretto collegamento si inseriranno con argomenti diversi da loro scelti</w:t>
      </w:r>
      <w:r w:rsidR="0015550E">
        <w:t>.</w:t>
      </w:r>
    </w:p>
    <w:p w:rsidR="00B336C3" w:rsidRDefault="00B336C3" w:rsidP="0015550E"/>
    <w:p w:rsidR="00B336C3" w:rsidRPr="0015550E" w:rsidRDefault="00A102D0" w:rsidP="0015550E">
      <w:pPr>
        <w:pStyle w:val="Titolo3"/>
      </w:pPr>
      <w:r w:rsidRPr="0015550E">
        <w:lastRenderedPageBreak/>
        <w:t>Illustrazione delle esperienze nei PCTO</w:t>
      </w:r>
    </w:p>
    <w:p w:rsidR="00B336C3" w:rsidRPr="00B336C3" w:rsidRDefault="00B336C3" w:rsidP="0015550E">
      <w:pPr>
        <w:rPr>
          <w:szCs w:val="20"/>
        </w:rPr>
      </w:pPr>
      <w:r w:rsidRPr="00B336C3">
        <w:t xml:space="preserve">Nell'ambito del colloquio il candidato espone, mediante una breve relazione e/o un elaborato multimediale, </w:t>
      </w:r>
      <w:r w:rsidRPr="00B336C3">
        <w:rPr>
          <w:szCs w:val="20"/>
        </w:rPr>
        <w:t>le esperienze svolte nell'ambito dei percorsi per le competenze trasversali e per l'orientamento.</w:t>
      </w:r>
    </w:p>
    <w:p w:rsidR="00B336C3" w:rsidRDefault="00B336C3" w:rsidP="0015550E">
      <w:r w:rsidRPr="00B336C3">
        <w:t xml:space="preserve">Nella relazione e/o nell'elaborato, il candidato, oltre a illustrare natura e caratteristiche delle attività svolte e a correlarle alle competenze specifiche e trasversali acquisite, sviluppa una riflessione in un'ottica orientativa sulla significatività e sulla ricaduta di tali attività sulle opportunità di studio e/o di lavoro post-diploma. </w:t>
      </w:r>
    </w:p>
    <w:p w:rsidR="00B336C3" w:rsidRDefault="00B336C3" w:rsidP="0015550E"/>
    <w:p w:rsidR="00A102D0" w:rsidRPr="00A102D0" w:rsidRDefault="00A102D0" w:rsidP="0015550E">
      <w:pPr>
        <w:pStyle w:val="Titolo3"/>
      </w:pPr>
      <w:r>
        <w:t>Cittadinanza e Costituzione</w:t>
      </w:r>
    </w:p>
    <w:p w:rsidR="00B336C3" w:rsidRDefault="00B336C3" w:rsidP="0015550E">
      <w:r w:rsidRPr="00B336C3">
        <w:t>Parte del colloquio è inoltre dedicata alle attività, ai percorsi e ai progetti svolti nell'ambito di «Cittadinanza e Costituzione», inseriti nel curriculum scolastico, illustrati nel documento del consiglio di classe e realizzati in coerenza con gli obiettivi del PTOF.</w:t>
      </w:r>
    </w:p>
    <w:p w:rsidR="002478C7" w:rsidRPr="00A102D0" w:rsidRDefault="00A102D0" w:rsidP="0015550E">
      <w:r>
        <w:t>La commissione s</w:t>
      </w:r>
      <w:r w:rsidR="00B92FD9" w:rsidRPr="00A102D0">
        <w:t>timol</w:t>
      </w:r>
      <w:r>
        <w:t>erà</w:t>
      </w:r>
      <w:r w:rsidR="00B92FD9" w:rsidRPr="00A102D0">
        <w:t xml:space="preserve"> l’esplorazione dell’orizzonte esperienziale del candidato</w:t>
      </w:r>
      <w:r>
        <w:t>.</w:t>
      </w:r>
    </w:p>
    <w:p w:rsidR="00F4460D" w:rsidRPr="00B336C3" w:rsidRDefault="00F4460D" w:rsidP="0015550E"/>
    <w:p w:rsidR="00F4460D" w:rsidRPr="005818FD" w:rsidRDefault="005818FD" w:rsidP="0015550E">
      <w:pPr>
        <w:pStyle w:val="Titolo3"/>
      </w:pPr>
      <w:r w:rsidRPr="005818FD">
        <w:t>Discussione degli elaborati</w:t>
      </w:r>
    </w:p>
    <w:p w:rsidR="00F4460D" w:rsidRDefault="00F4460D" w:rsidP="005818FD">
      <w:r>
        <w:t xml:space="preserve">Nel corso della discussione o alla fine della discussione vengono discussi gli elaborati delle </w:t>
      </w:r>
      <w:r w:rsidR="005818FD">
        <w:t>due</w:t>
      </w:r>
      <w:r>
        <w:t xml:space="preserve"> prove scritte e i loro risultati; anche da questi si può trarre spunto per sviluppare un argomento. </w:t>
      </w:r>
    </w:p>
    <w:p w:rsidR="00F4460D" w:rsidRDefault="00F4460D" w:rsidP="005818FD">
      <w:pPr>
        <w:pStyle w:val="p6"/>
      </w:pPr>
    </w:p>
    <w:p w:rsidR="00F4460D" w:rsidRDefault="00F4460D" w:rsidP="0015550E">
      <w:pPr>
        <w:pStyle w:val="Titolo3"/>
      </w:pPr>
      <w:r>
        <w:t>Valutazione del colloquio</w:t>
      </w:r>
      <w:r w:rsidR="0015550E">
        <w:t xml:space="preserve"> (dopo che il candidato è uscito dall’aula)</w:t>
      </w:r>
    </w:p>
    <w:p w:rsidR="005818FD" w:rsidRDefault="005818FD" w:rsidP="0015550E">
      <w:r>
        <w:t xml:space="preserve">Durante il colloquio tutti i commissari rilevano elementi significativi dell’esposizione e predispongono la valutazione tenendo conto degli elementi riportati nell'apposita griglia. </w:t>
      </w:r>
    </w:p>
    <w:p w:rsidR="00F4460D" w:rsidRDefault="00F4460D" w:rsidP="0015550E">
      <w:r>
        <w:t>Al termine del colloquio, la commissione, per valutare il conseguimen</w:t>
      </w:r>
      <w:r w:rsidR="003703B1">
        <w:t>to degli obiettivi prescritti (</w:t>
      </w:r>
      <w:r>
        <w:t>la padronanza della lingua, la capacità di utilizzare conoscenze acquisite, collegarle nell’argomentazione, discutere e approfondire sotto vari profili i diversi argomenti</w:t>
      </w:r>
      <w:r w:rsidR="0015550E">
        <w:t>)</w:t>
      </w:r>
      <w:r w:rsidR="003703B1">
        <w:t>,</w:t>
      </w:r>
      <w:r>
        <w:t xml:space="preserve"> fa uso dei seguenti indicatori:</w:t>
      </w:r>
    </w:p>
    <w:p w:rsidR="0015550E" w:rsidRDefault="0015550E" w:rsidP="001555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14"/>
      </w:tblGrid>
      <w:tr w:rsidR="00F4460D" w:rsidTr="0015550E">
        <w:tc>
          <w:tcPr>
            <w:tcW w:w="2764" w:type="dxa"/>
            <w:shd w:val="clear" w:color="auto" w:fill="FBE4D5" w:themeFill="accent2" w:themeFillTint="33"/>
          </w:tcPr>
          <w:p w:rsidR="00F4460D" w:rsidRDefault="00F4460D" w:rsidP="005818FD">
            <w:r>
              <w:t>INDICATORI</w:t>
            </w:r>
          </w:p>
        </w:tc>
        <w:tc>
          <w:tcPr>
            <w:tcW w:w="7014" w:type="dxa"/>
            <w:shd w:val="clear" w:color="auto" w:fill="FBE4D5" w:themeFill="accent2" w:themeFillTint="33"/>
          </w:tcPr>
          <w:p w:rsidR="00F4460D" w:rsidRPr="0015550E" w:rsidRDefault="00F4460D" w:rsidP="005818FD">
            <w:pPr>
              <w:pStyle w:val="Titolo1"/>
              <w:rPr>
                <w:u w:val="none"/>
              </w:rPr>
            </w:pPr>
            <w:r w:rsidRPr="0015550E">
              <w:rPr>
                <w:u w:val="none"/>
              </w:rPr>
              <w:t>DESCRITTORI</w:t>
            </w:r>
          </w:p>
        </w:tc>
      </w:tr>
      <w:tr w:rsidR="005818FD" w:rsidTr="0015550E">
        <w:tc>
          <w:tcPr>
            <w:tcW w:w="2764" w:type="dxa"/>
          </w:tcPr>
          <w:p w:rsidR="005818FD" w:rsidRPr="0015550E" w:rsidRDefault="005818FD" w:rsidP="00632D68">
            <w:pPr>
              <w:pStyle w:val="Nessunaspaziatura"/>
              <w:jc w:val="left"/>
            </w:pPr>
            <w:r w:rsidRPr="0015550E">
              <w:t xml:space="preserve">Padronanza </w:t>
            </w:r>
            <w:r w:rsidR="00632D68">
              <w:t>della lingua orale</w:t>
            </w:r>
          </w:p>
        </w:tc>
        <w:tc>
          <w:tcPr>
            <w:tcW w:w="7014" w:type="dxa"/>
          </w:tcPr>
          <w:p w:rsidR="005818FD" w:rsidRPr="0015550E" w:rsidRDefault="005818FD" w:rsidP="0015550E">
            <w:pPr>
              <w:pStyle w:val="Nessunaspaziatura"/>
            </w:pPr>
            <w:r w:rsidRPr="0015550E">
              <w:t xml:space="preserve">Proprietà sintattica e lessicale, chiarezza comunicativa, </w:t>
            </w:r>
            <w:proofErr w:type="spellStart"/>
            <w:r w:rsidRPr="0015550E">
              <w:t>fluenza</w:t>
            </w:r>
            <w:proofErr w:type="spellEnd"/>
          </w:p>
        </w:tc>
      </w:tr>
      <w:tr w:rsidR="00F4460D" w:rsidTr="0015550E">
        <w:tc>
          <w:tcPr>
            <w:tcW w:w="2764" w:type="dxa"/>
          </w:tcPr>
          <w:p w:rsidR="00F4460D" w:rsidRDefault="00632D68" w:rsidP="00632D68">
            <w:pPr>
              <w:pStyle w:val="Nessunaspaziatura"/>
              <w:jc w:val="left"/>
            </w:pPr>
            <w:r>
              <w:t>C</w:t>
            </w:r>
            <w:r w:rsidRPr="00632D68">
              <w:t>onoscenza degli argomenti e capacità di individuare i nuclei concettuali delle discipline</w:t>
            </w:r>
          </w:p>
        </w:tc>
        <w:tc>
          <w:tcPr>
            <w:tcW w:w="7014" w:type="dxa"/>
          </w:tcPr>
          <w:p w:rsidR="00F4460D" w:rsidRDefault="00F4460D" w:rsidP="0015550E">
            <w:pPr>
              <w:pStyle w:val="Nessunaspaziatura"/>
            </w:pPr>
            <w:r>
              <w:t xml:space="preserve">Capacità di individuare i nodi fondamentali delle questioni da trattare </w:t>
            </w:r>
          </w:p>
        </w:tc>
      </w:tr>
      <w:tr w:rsidR="00F4460D" w:rsidTr="0015550E">
        <w:tc>
          <w:tcPr>
            <w:tcW w:w="2764" w:type="dxa"/>
          </w:tcPr>
          <w:p w:rsidR="00F4460D" w:rsidRDefault="00632D68" w:rsidP="00632D68">
            <w:pPr>
              <w:pStyle w:val="Nessunaspaziatura"/>
              <w:jc w:val="left"/>
            </w:pPr>
            <w:r>
              <w:t>C</w:t>
            </w:r>
            <w:r w:rsidRPr="00632D68">
              <w:t>apacità di approfondimento e collegamento</w:t>
            </w:r>
          </w:p>
        </w:tc>
        <w:tc>
          <w:tcPr>
            <w:tcW w:w="7014" w:type="dxa"/>
          </w:tcPr>
          <w:p w:rsidR="00F4460D" w:rsidRDefault="00632D68" w:rsidP="0015550E">
            <w:pPr>
              <w:pStyle w:val="Nessunaspaziatura"/>
            </w:pPr>
            <w:r>
              <w:t>Capacità di impostare e trattare in modo autentico, di problematizzare e approfondire tentando soluzioni in parte originali, di condurre autonomamente l’esposizione</w:t>
            </w:r>
          </w:p>
        </w:tc>
      </w:tr>
      <w:tr w:rsidR="00F4460D" w:rsidTr="0015550E">
        <w:tc>
          <w:tcPr>
            <w:tcW w:w="2764" w:type="dxa"/>
          </w:tcPr>
          <w:p w:rsidR="00F4460D" w:rsidRDefault="00632D68" w:rsidP="00632D68">
            <w:pPr>
              <w:pStyle w:val="Nessunaspaziatura"/>
              <w:jc w:val="left"/>
            </w:pPr>
            <w:r w:rsidRPr="00632D68">
              <w:t>capacità di riflettere ed esprimere giudizi argomentati, anche sulle proprie esperienze</w:t>
            </w:r>
          </w:p>
        </w:tc>
        <w:tc>
          <w:tcPr>
            <w:tcW w:w="7014" w:type="dxa"/>
          </w:tcPr>
          <w:p w:rsidR="00F4460D" w:rsidRDefault="00F4460D" w:rsidP="0015550E">
            <w:pPr>
              <w:pStyle w:val="Nessunaspaziatura"/>
            </w:pPr>
            <w:r>
              <w:t>Capacità di analizzare e sintetizzare, di strutturare logicamente i pensieri, di confrontare vari punti di vista (flessibilità), di offrire ragioni e motivazioni adeguate</w:t>
            </w:r>
          </w:p>
        </w:tc>
      </w:tr>
    </w:tbl>
    <w:p w:rsidR="0015550E" w:rsidRDefault="0015550E" w:rsidP="0015550E"/>
    <w:p w:rsidR="00632D68" w:rsidRDefault="005818FD" w:rsidP="0015550E">
      <w:r>
        <w:t>Il p</w:t>
      </w:r>
      <w:r w:rsidR="00F4460D">
        <w:t xml:space="preserve">unteggio da assegnare in </w:t>
      </w:r>
      <w:r>
        <w:t xml:space="preserve">ventesimi, sarà </w:t>
      </w:r>
      <w:r w:rsidR="00F4460D">
        <w:t xml:space="preserve">attribuito sulla base </w:t>
      </w:r>
      <w:r w:rsidR="007959DD">
        <w:t xml:space="preserve">di una valutazione globale del colloquio. Qualora non ci sia l’unanimità si procede come specificato </w:t>
      </w:r>
      <w:r w:rsidR="00B92FD9">
        <w:t xml:space="preserve">all’ART. 18 comma 3 </w:t>
      </w:r>
      <w:r w:rsidR="007959DD">
        <w:t>d</w:t>
      </w:r>
      <w:r w:rsidR="00B92FD9">
        <w:t>e</w:t>
      </w:r>
      <w:r w:rsidR="007959DD">
        <w:t xml:space="preserve">ll’OM </w:t>
      </w:r>
      <w:r>
        <w:t>205</w:t>
      </w:r>
      <w:r w:rsidR="007959DD">
        <w:t>/201</w:t>
      </w:r>
      <w:r>
        <w:t>9</w:t>
      </w:r>
      <w:r w:rsidR="00F4460D">
        <w:t xml:space="preserve">. </w:t>
      </w:r>
    </w:p>
    <w:p w:rsidR="00632D68" w:rsidRDefault="00632D68" w:rsidP="0015550E"/>
    <w:sectPr w:rsidR="00632D68">
      <w:pgSz w:w="11907" w:h="16840" w:code="9"/>
      <w:pgMar w:top="964" w:right="1134" w:bottom="96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63161"/>
    <w:multiLevelType w:val="singleLevel"/>
    <w:tmpl w:val="18B685A4"/>
    <w:lvl w:ilvl="0">
      <w:start w:val="1"/>
      <w:numFmt w:val="decimal"/>
      <w:lvlText w:val="%1."/>
      <w:legacy w:legacy="1" w:legacySpace="0" w:legacyIndent="435"/>
      <w:lvlJc w:val="left"/>
      <w:pPr>
        <w:ind w:left="435" w:hanging="435"/>
      </w:pPr>
    </w:lvl>
  </w:abstractNum>
  <w:abstractNum w:abstractNumId="2" w15:restartNumberingAfterBreak="0">
    <w:nsid w:val="080E2177"/>
    <w:multiLevelType w:val="hybridMultilevel"/>
    <w:tmpl w:val="3B4083B4"/>
    <w:lvl w:ilvl="0" w:tplc="36DAD1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2C6D57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DF076E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E70E2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8D0BE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7B014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CE0621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4DC46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6FE5BB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66AC8"/>
    <w:multiLevelType w:val="hybridMultilevel"/>
    <w:tmpl w:val="8E6AE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367E0"/>
    <w:multiLevelType w:val="hybridMultilevel"/>
    <w:tmpl w:val="0908D9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32C80"/>
    <w:multiLevelType w:val="hybridMultilevel"/>
    <w:tmpl w:val="B45E0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C6D74"/>
    <w:multiLevelType w:val="hybridMultilevel"/>
    <w:tmpl w:val="6F48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E1BA6"/>
    <w:multiLevelType w:val="hybridMultilevel"/>
    <w:tmpl w:val="91A29C9A"/>
    <w:lvl w:ilvl="0" w:tplc="D7706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24867"/>
    <w:multiLevelType w:val="singleLevel"/>
    <w:tmpl w:val="DEE6C1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C1A778B"/>
    <w:multiLevelType w:val="hybridMultilevel"/>
    <w:tmpl w:val="BE6816F4"/>
    <w:lvl w:ilvl="0" w:tplc="9E7EF9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E0086F"/>
    <w:multiLevelType w:val="hybridMultilevel"/>
    <w:tmpl w:val="77D23A1A"/>
    <w:lvl w:ilvl="0" w:tplc="D7706BA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335591"/>
    <w:multiLevelType w:val="singleLevel"/>
    <w:tmpl w:val="DEE6C1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E9470F"/>
    <w:multiLevelType w:val="singleLevel"/>
    <w:tmpl w:val="90882A1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D06EAD"/>
    <w:multiLevelType w:val="hybridMultilevel"/>
    <w:tmpl w:val="77463500"/>
    <w:lvl w:ilvl="0" w:tplc="AAA4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437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2EA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2C2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A24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078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A77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788A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FC9F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77BD0"/>
    <w:multiLevelType w:val="hybridMultilevel"/>
    <w:tmpl w:val="395CF312"/>
    <w:lvl w:ilvl="0" w:tplc="88080ED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7F5455D8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DB0032F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A20EF6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DDEC64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011E542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7A2C5A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0DEA07F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D234CD4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7E366B"/>
    <w:multiLevelType w:val="hybridMultilevel"/>
    <w:tmpl w:val="C4462AA2"/>
    <w:lvl w:ilvl="0" w:tplc="9E7EF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EC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47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21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C8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0D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8A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4C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8A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209389C"/>
    <w:multiLevelType w:val="hybridMultilevel"/>
    <w:tmpl w:val="E64CA06E"/>
    <w:lvl w:ilvl="0" w:tplc="165403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4CC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6E39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8BC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B630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6018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057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D44B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6833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84474"/>
    <w:multiLevelType w:val="singleLevel"/>
    <w:tmpl w:val="DEE6C1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5994D61"/>
    <w:multiLevelType w:val="hybridMultilevel"/>
    <w:tmpl w:val="1A5A4340"/>
    <w:lvl w:ilvl="0" w:tplc="3ECA3836">
      <w:start w:val="1"/>
      <w:numFmt w:val="decimal"/>
      <w:pStyle w:val="Titolo3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17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3"/>
  </w:num>
  <w:num w:numId="13">
    <w:abstractNumId w:val="14"/>
  </w:num>
  <w:num w:numId="14">
    <w:abstractNumId w:val="4"/>
  </w:num>
  <w:num w:numId="15">
    <w:abstractNumId w:val="15"/>
  </w:num>
  <w:num w:numId="16">
    <w:abstractNumId w:val="16"/>
  </w:num>
  <w:num w:numId="17">
    <w:abstractNumId w:val="13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it-IT" w:vendorID="3" w:dllVersion="512" w:checkStyle="1"/>
  <w:activeWritingStyle w:appName="MSWord" w:lang="en-US" w:vendorID="8" w:dllVersion="513" w:checkStyle="1"/>
  <w:activeWritingStyle w:appName="MSWord" w:lang="it-IT" w:vendorID="3" w:dllVersion="517" w:checkStyle="1"/>
  <w:proofState w:spelling="clean" w:grammar="clean"/>
  <w:doNotTrackMoves/>
  <w:defaultTabStop w:val="708"/>
  <w:hyphenationZone w:val="283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03B1"/>
    <w:rsid w:val="000B728B"/>
    <w:rsid w:val="0015550E"/>
    <w:rsid w:val="002478C7"/>
    <w:rsid w:val="003703B1"/>
    <w:rsid w:val="00377BEB"/>
    <w:rsid w:val="0048476B"/>
    <w:rsid w:val="004B39A9"/>
    <w:rsid w:val="00541FAC"/>
    <w:rsid w:val="005818FD"/>
    <w:rsid w:val="005B14A6"/>
    <w:rsid w:val="00632D68"/>
    <w:rsid w:val="0076459F"/>
    <w:rsid w:val="00780008"/>
    <w:rsid w:val="007959DD"/>
    <w:rsid w:val="008F6D61"/>
    <w:rsid w:val="009043C4"/>
    <w:rsid w:val="00962F6F"/>
    <w:rsid w:val="00971DFC"/>
    <w:rsid w:val="0099422D"/>
    <w:rsid w:val="00A102D0"/>
    <w:rsid w:val="00A958EA"/>
    <w:rsid w:val="00A97928"/>
    <w:rsid w:val="00B336C3"/>
    <w:rsid w:val="00B92FD9"/>
    <w:rsid w:val="00C2114B"/>
    <w:rsid w:val="00E27E67"/>
    <w:rsid w:val="00E97BE8"/>
    <w:rsid w:val="00F4460D"/>
    <w:rsid w:val="00F7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3C143"/>
  <w15:chartTrackingRefBased/>
  <w15:docId w15:val="{887CACFD-8534-4771-9D51-1D1AA601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18FD"/>
    <w:pPr>
      <w:ind w:firstLine="708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5550E"/>
    <w:pPr>
      <w:keepNext/>
      <w:numPr>
        <w:numId w:val="19"/>
      </w:numPr>
      <w:jc w:val="left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outlineLvl w:val="3"/>
    </w:p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ourier New" w:hAnsi="Courier New"/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line="240" w:lineRule="exact"/>
    </w:pPr>
    <w:rPr>
      <w:rFonts w:ascii="Courier" w:hAnsi="Courier"/>
      <w:lang w:val="en-US"/>
    </w:rPr>
  </w:style>
  <w:style w:type="paragraph" w:customStyle="1" w:styleId="Corpodeltesto21">
    <w:name w:val="Corpo del testo 21"/>
    <w:basedOn w:val="Normale"/>
    <w:pPr>
      <w:jc w:val="center"/>
    </w:pPr>
    <w:rPr>
      <w:b/>
    </w:rPr>
  </w:style>
  <w:style w:type="paragraph" w:styleId="Titolo">
    <w:name w:val="Title"/>
    <w:basedOn w:val="Normale"/>
    <w:qFormat/>
    <w:pPr>
      <w:jc w:val="center"/>
    </w:pPr>
  </w:style>
  <w:style w:type="paragraph" w:customStyle="1" w:styleId="p6">
    <w:name w:val="p6"/>
    <w:basedOn w:val="Normale"/>
    <w:pPr>
      <w:widowControl w:val="0"/>
      <w:tabs>
        <w:tab w:val="left" w:pos="600"/>
      </w:tabs>
      <w:spacing w:line="360" w:lineRule="auto"/>
    </w:pPr>
  </w:style>
  <w:style w:type="paragraph" w:customStyle="1" w:styleId="Corpodeltesto22">
    <w:name w:val="Corpo del testo 22"/>
    <w:basedOn w:val="Normale"/>
    <w:rPr>
      <w:rFonts w:ascii="Courier New" w:hAnsi="Courier New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2">
    <w:name w:val="Body Text 2"/>
    <w:basedOn w:val="Normale"/>
    <w:semiHidden/>
    <w:rPr>
      <w:i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PreformattatoHTML">
    <w:name w:val="HTML Preformatted"/>
    <w:basedOn w:val="Normale"/>
    <w:next w:val="Normale"/>
    <w:link w:val="PreformattatoHTMLCarattere"/>
    <w:uiPriority w:val="99"/>
    <w:rsid w:val="000B728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B728B"/>
    <w:rPr>
      <w:rFonts w:ascii="Courier New" w:hAnsi="Courier New" w:cs="Courier New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F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F6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336C3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9043C4"/>
    <w:pPr>
      <w:ind w:left="720"/>
      <w:contextualSpacing/>
    </w:pPr>
  </w:style>
  <w:style w:type="paragraph" w:styleId="Nessunaspaziatura">
    <w:name w:val="No Spacing"/>
    <w:basedOn w:val="Normale"/>
    <w:uiPriority w:val="1"/>
    <w:qFormat/>
    <w:rsid w:val="0015550E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3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3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 Colloquio</vt:lpstr>
      <vt:lpstr>LICEO SCIENTIFICO STATALE " MICHELANGELO BUONARROTI "</vt:lpstr>
    </vt:vector>
  </TitlesOfParts>
  <Company>Cinquelupi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 Colloquio</dc:title>
  <dc:subject/>
  <dc:creator>Oliviero Barbieri</dc:creator>
  <cp:keywords/>
  <cp:lastModifiedBy>Oliviero Barbieri</cp:lastModifiedBy>
  <cp:revision>2</cp:revision>
  <cp:lastPrinted>2010-06-20T13:56:00Z</cp:lastPrinted>
  <dcterms:created xsi:type="dcterms:W3CDTF">2019-04-18T08:44:00Z</dcterms:created>
  <dcterms:modified xsi:type="dcterms:W3CDTF">2019-04-18T08:44:00Z</dcterms:modified>
</cp:coreProperties>
</file>